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BF" w:rsidRDefault="009F7FBF" w:rsidP="000E69BC">
      <w:pPr>
        <w:spacing w:after="0" w:line="240" w:lineRule="auto"/>
        <w:jc w:val="center"/>
        <w:rPr>
          <w:rFonts w:ascii="Times New Roman" w:hAnsi="Times New Roman" w:cs="Times New Roman"/>
          <w:b/>
          <w:sz w:val="28"/>
          <w:szCs w:val="28"/>
        </w:rPr>
      </w:pPr>
    </w:p>
    <w:p w:rsidR="009F7FBF" w:rsidRPr="00CE1BA8" w:rsidRDefault="009F7FBF" w:rsidP="009F7FB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ПРОЕКТ </w:t>
      </w:r>
    </w:p>
    <w:p w:rsidR="009F7FBF" w:rsidRDefault="009F7FBF" w:rsidP="000E69BC">
      <w:pPr>
        <w:spacing w:after="0" w:line="240" w:lineRule="auto"/>
        <w:jc w:val="center"/>
        <w:rPr>
          <w:rFonts w:ascii="Times New Roman" w:hAnsi="Times New Roman" w:cs="Times New Roman"/>
          <w:b/>
          <w:sz w:val="28"/>
          <w:szCs w:val="28"/>
        </w:rPr>
      </w:pPr>
    </w:p>
    <w:p w:rsidR="000E69BC" w:rsidRPr="00CE1BA8" w:rsidRDefault="000E69BC" w:rsidP="009F7FBF">
      <w:pPr>
        <w:spacing w:after="0" w:line="240" w:lineRule="auto"/>
        <w:jc w:val="both"/>
        <w:rPr>
          <w:rFonts w:ascii="Times New Roman" w:hAnsi="Times New Roman" w:cs="Times New Roman"/>
          <w:b/>
          <w:sz w:val="20"/>
          <w:szCs w:val="28"/>
        </w:rPr>
      </w:pPr>
      <w:r w:rsidRPr="00CE1BA8">
        <w:rPr>
          <w:rFonts w:ascii="Times New Roman" w:hAnsi="Times New Roman" w:cs="Times New Roman"/>
          <w:b/>
          <w:sz w:val="28"/>
          <w:szCs w:val="28"/>
        </w:rPr>
        <w:t>Администраци</w:t>
      </w:r>
      <w:r>
        <w:rPr>
          <w:rFonts w:ascii="Times New Roman" w:hAnsi="Times New Roman" w:cs="Times New Roman"/>
          <w:b/>
          <w:sz w:val="28"/>
          <w:szCs w:val="28"/>
        </w:rPr>
        <w:t>я</w:t>
      </w:r>
      <w:r w:rsidR="009F7FBF">
        <w:rPr>
          <w:rFonts w:ascii="Times New Roman" w:hAnsi="Times New Roman" w:cs="Times New Roman"/>
          <w:b/>
          <w:sz w:val="28"/>
          <w:szCs w:val="28"/>
        </w:rPr>
        <w:t xml:space="preserve"> сельского поселения Карламанский сельсовет муниципального района Кармаскалинский район Республики Башкортостан</w:t>
      </w:r>
      <w:r w:rsidRPr="00CE1BA8">
        <w:rPr>
          <w:rFonts w:ascii="Times New Roman" w:hAnsi="Times New Roman" w:cs="Times New Roman"/>
          <w:b/>
          <w:sz w:val="20"/>
          <w:szCs w:val="28"/>
        </w:rPr>
        <w:t xml:space="preserve">             </w:t>
      </w:r>
      <w:r w:rsidR="009F7FBF">
        <w:rPr>
          <w:rFonts w:ascii="Times New Roman" w:hAnsi="Times New Roman" w:cs="Times New Roman"/>
          <w:b/>
          <w:sz w:val="20"/>
          <w:szCs w:val="28"/>
        </w:rPr>
        <w:t xml:space="preserve">                       </w:t>
      </w:r>
    </w:p>
    <w:p w:rsidR="009F7FBF" w:rsidRDefault="009F7FBF" w:rsidP="009F7FBF">
      <w:pPr>
        <w:spacing w:after="0" w:line="240" w:lineRule="auto"/>
        <w:jc w:val="right"/>
        <w:rPr>
          <w:rFonts w:ascii="Times New Roman" w:hAnsi="Times New Roman" w:cs="Times New Roman"/>
          <w:b/>
          <w:sz w:val="28"/>
          <w:szCs w:val="28"/>
        </w:rPr>
      </w:pPr>
    </w:p>
    <w:p w:rsidR="009F7FBF" w:rsidRDefault="009F7FBF" w:rsidP="000E69BC">
      <w:pPr>
        <w:spacing w:after="0" w:line="240" w:lineRule="auto"/>
        <w:jc w:val="center"/>
        <w:rPr>
          <w:rFonts w:ascii="Times New Roman" w:hAnsi="Times New Roman" w:cs="Times New Roman"/>
          <w:b/>
          <w:sz w:val="28"/>
          <w:szCs w:val="28"/>
        </w:rPr>
      </w:pPr>
    </w:p>
    <w:p w:rsidR="000E69BC"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0E69BC" w:rsidRPr="00CE1BA8" w:rsidRDefault="000E69BC" w:rsidP="000E69BC">
      <w:pPr>
        <w:spacing w:after="0" w:line="240" w:lineRule="auto"/>
        <w:jc w:val="center"/>
        <w:rPr>
          <w:rFonts w:ascii="Times New Roman" w:hAnsi="Times New Roman" w:cs="Times New Roman"/>
          <w:b/>
          <w:sz w:val="28"/>
          <w:szCs w:val="28"/>
        </w:rPr>
      </w:pPr>
    </w:p>
    <w:p w:rsidR="000E69BC" w:rsidRPr="00CE1BA8" w:rsidRDefault="000E69BC" w:rsidP="000E69BC">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«___» ________20___ года № ____</w:t>
      </w:r>
    </w:p>
    <w:p w:rsidR="000E69BC" w:rsidRPr="00D600BD"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CE1BA8" w:rsidRDefault="000E69BC" w:rsidP="001D57D3">
      <w:pPr>
        <w:spacing w:after="0"/>
        <w:jc w:val="center"/>
        <w:rPr>
          <w:rFonts w:ascii="Times New Roman" w:hAnsi="Times New Roman" w:cs="Times New Roman"/>
          <w:b/>
          <w:bCs/>
          <w:sz w:val="28"/>
          <w:szCs w:val="28"/>
        </w:rPr>
      </w:pPr>
      <w:r w:rsidRPr="002B6B2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B6B23">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2B6B23">
        <w:rPr>
          <w:rFonts w:ascii="Times New Roman" w:eastAsia="Times New Roman" w:hAnsi="Times New Roman" w:cs="Times New Roman"/>
          <w:b/>
          <w:sz w:val="28"/>
          <w:szCs w:val="28"/>
          <w:lang w:eastAsia="ru-RU"/>
        </w:rPr>
        <w:t>»</w:t>
      </w:r>
      <w:r w:rsidR="001D57D3">
        <w:rPr>
          <w:rFonts w:ascii="Times New Roman" w:eastAsia="Times New Roman" w:hAnsi="Times New Roman" w:cs="Times New Roman"/>
          <w:b/>
          <w:sz w:val="28"/>
          <w:szCs w:val="28"/>
          <w:lang w:eastAsia="ru-RU"/>
        </w:rPr>
        <w:t xml:space="preserve"> </w:t>
      </w:r>
      <w:r w:rsidRPr="00CE1BA8">
        <w:rPr>
          <w:rFonts w:ascii="Times New Roman" w:hAnsi="Times New Roman" w:cs="Times New Roman"/>
          <w:b/>
          <w:bCs/>
          <w:sz w:val="28"/>
          <w:szCs w:val="28"/>
        </w:rPr>
        <w:t xml:space="preserve">в </w:t>
      </w:r>
      <w:r w:rsidR="001D57D3">
        <w:rPr>
          <w:rFonts w:ascii="Times New Roman" w:hAnsi="Times New Roman" w:cs="Times New Roman"/>
          <w:b/>
          <w:bCs/>
          <w:sz w:val="28"/>
          <w:szCs w:val="28"/>
        </w:rPr>
        <w:t>а</w:t>
      </w:r>
      <w:r w:rsidR="009F7FBF" w:rsidRPr="009F7FBF">
        <w:rPr>
          <w:rFonts w:ascii="Times New Roman" w:hAnsi="Times New Roman" w:cs="Times New Roman"/>
          <w:b/>
          <w:bCs/>
          <w:sz w:val="28"/>
          <w:szCs w:val="28"/>
        </w:rPr>
        <w:t>дминистраци</w:t>
      </w:r>
      <w:r w:rsidR="009F7FBF">
        <w:rPr>
          <w:rFonts w:ascii="Times New Roman" w:hAnsi="Times New Roman" w:cs="Times New Roman"/>
          <w:b/>
          <w:bCs/>
          <w:sz w:val="28"/>
          <w:szCs w:val="28"/>
        </w:rPr>
        <w:t>и</w:t>
      </w:r>
      <w:r w:rsidR="009F7FBF" w:rsidRPr="009F7FBF">
        <w:rPr>
          <w:rFonts w:ascii="Times New Roman" w:hAnsi="Times New Roman" w:cs="Times New Roman"/>
          <w:b/>
          <w:bCs/>
          <w:sz w:val="28"/>
          <w:szCs w:val="28"/>
        </w:rPr>
        <w:t xml:space="preserve"> сельского поселения Карламанский сельсовет муниципального района Кармаскалинский район Республики Башкортостан                                    </w:t>
      </w:r>
    </w:p>
    <w:p w:rsidR="000E69BC" w:rsidRPr="00CE1BA8" w:rsidRDefault="000E69BC" w:rsidP="000E69BC">
      <w:pPr>
        <w:pStyle w:val="af1"/>
        <w:jc w:val="center"/>
        <w:rPr>
          <w:rFonts w:ascii="Times New Roman" w:hAnsi="Times New Roman"/>
          <w:b/>
          <w:sz w:val="28"/>
          <w:szCs w:val="28"/>
        </w:rPr>
      </w:pPr>
    </w:p>
    <w:p w:rsidR="000E69BC" w:rsidRPr="009F7FBF" w:rsidRDefault="000E69BC" w:rsidP="009F7FBF">
      <w:pPr>
        <w:tabs>
          <w:tab w:val="left" w:pos="2835"/>
        </w:tabs>
        <w:autoSpaceDE w:val="0"/>
        <w:autoSpaceDN w:val="0"/>
        <w:adjustRightInd w:val="0"/>
        <w:spacing w:after="0" w:line="240" w:lineRule="auto"/>
        <w:ind w:firstLine="709"/>
        <w:jc w:val="both"/>
        <w:rPr>
          <w:rFonts w:ascii="Times New Roman" w:hAnsi="Times New Roman" w:cs="Times New Roman"/>
          <w:sz w:val="16"/>
          <w:szCs w:val="28"/>
        </w:rPr>
      </w:pPr>
      <w:proofErr w:type="gramStart"/>
      <w:r w:rsidRPr="00CE1BA8">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F7FBF" w:rsidRPr="009F7FBF">
        <w:rPr>
          <w:rFonts w:ascii="Times New Roman" w:hAnsi="Times New Roman" w:cs="Times New Roman"/>
          <w:sz w:val="28"/>
          <w:szCs w:val="28"/>
        </w:rPr>
        <w:t>сельского поселения Карламанский сельсовет муниципального района Кармаскалинский ра</w:t>
      </w:r>
      <w:r w:rsidR="009F7FBF">
        <w:rPr>
          <w:rFonts w:ascii="Times New Roman" w:hAnsi="Times New Roman" w:cs="Times New Roman"/>
          <w:sz w:val="28"/>
          <w:szCs w:val="28"/>
        </w:rPr>
        <w:t xml:space="preserve">йон Республики Башкортостан  </w:t>
      </w:r>
      <w:r w:rsidRPr="009F7FBF">
        <w:rPr>
          <w:rFonts w:ascii="Times New Roman" w:hAnsi="Times New Roman" w:cs="Times New Roman"/>
          <w:sz w:val="28"/>
          <w:szCs w:val="28"/>
        </w:rPr>
        <w:t>ПОСТАНОВЛЯЕТ</w:t>
      </w:r>
      <w:r w:rsidRPr="00CE1BA8">
        <w:rPr>
          <w:szCs w:val="28"/>
        </w:rPr>
        <w:t>:</w:t>
      </w:r>
      <w:proofErr w:type="gramEnd"/>
    </w:p>
    <w:p w:rsidR="000E69BC" w:rsidRPr="00CE1BA8" w:rsidRDefault="000E69BC" w:rsidP="009F7F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D600BD">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3913E2" w:rsidRPr="003913E2">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3913E2">
        <w:rPr>
          <w:rFonts w:ascii="Times New Roman" w:eastAsia="Times New Roman" w:hAnsi="Times New Roman" w:cs="Times New Roman"/>
          <w:sz w:val="28"/>
          <w:szCs w:val="28"/>
          <w:lang w:eastAsia="ru-RU"/>
        </w:rPr>
        <w:t>»</w:t>
      </w:r>
      <w:r w:rsidRPr="003913E2">
        <w:rPr>
          <w:rFonts w:ascii="Times New Roman" w:eastAsiaTheme="minorEastAsia" w:hAnsi="Times New Roman" w:cs="Times New Roman"/>
          <w:bCs/>
          <w:sz w:val="28"/>
          <w:szCs w:val="28"/>
          <w:lang w:eastAsia="ru-RU"/>
        </w:rPr>
        <w:t xml:space="preserve"> </w:t>
      </w:r>
      <w:r>
        <w:rPr>
          <w:rFonts w:ascii="Times New Roman" w:eastAsiaTheme="minorEastAsia" w:hAnsi="Times New Roman" w:cs="Times New Roman"/>
          <w:bCs/>
          <w:sz w:val="28"/>
          <w:szCs w:val="28"/>
          <w:lang w:eastAsia="ru-RU"/>
        </w:rPr>
        <w:t>в</w:t>
      </w:r>
      <w:r w:rsidR="009F7FBF">
        <w:rPr>
          <w:rFonts w:ascii="Times New Roman" w:eastAsiaTheme="minorEastAsia" w:hAnsi="Times New Roman" w:cs="Times New Roman"/>
          <w:bCs/>
          <w:sz w:val="28"/>
          <w:szCs w:val="28"/>
          <w:lang w:eastAsia="ru-RU"/>
        </w:rPr>
        <w:t xml:space="preserve"> </w:t>
      </w:r>
      <w:r w:rsidR="009F7FBF" w:rsidRPr="009F7FBF">
        <w:rPr>
          <w:rFonts w:ascii="Times New Roman" w:eastAsiaTheme="minorEastAsia" w:hAnsi="Times New Roman" w:cs="Times New Roman"/>
          <w:bCs/>
          <w:sz w:val="28"/>
          <w:szCs w:val="28"/>
          <w:lang w:eastAsia="ru-RU"/>
        </w:rPr>
        <w:t>Администраци</w:t>
      </w:r>
      <w:r w:rsidR="009F7FBF">
        <w:rPr>
          <w:rFonts w:ascii="Times New Roman" w:eastAsiaTheme="minorEastAsia" w:hAnsi="Times New Roman" w:cs="Times New Roman"/>
          <w:bCs/>
          <w:sz w:val="28"/>
          <w:szCs w:val="28"/>
          <w:lang w:eastAsia="ru-RU"/>
        </w:rPr>
        <w:t>и</w:t>
      </w:r>
      <w:r w:rsidR="009F7FBF" w:rsidRPr="009F7FBF">
        <w:rPr>
          <w:rFonts w:ascii="Times New Roman" w:eastAsiaTheme="minorEastAsia" w:hAnsi="Times New Roman" w:cs="Times New Roman"/>
          <w:bCs/>
          <w:sz w:val="28"/>
          <w:szCs w:val="28"/>
          <w:lang w:eastAsia="ru-RU"/>
        </w:rPr>
        <w:t xml:space="preserve"> сельского поселения Карламанский сельсовет муниципального района Кармаскалинский район Республики Башкортостан</w:t>
      </w:r>
      <w:r w:rsidR="009F7FBF">
        <w:rPr>
          <w:rFonts w:ascii="Times New Roman" w:eastAsiaTheme="minorEastAsia" w:hAnsi="Times New Roman" w:cs="Times New Roman"/>
          <w:bCs/>
          <w:sz w:val="28"/>
          <w:szCs w:val="28"/>
          <w:lang w:eastAsia="ru-RU"/>
        </w:rPr>
        <w:t>.</w:t>
      </w:r>
      <w:r w:rsidR="009F7FBF" w:rsidRPr="009F7FBF">
        <w:rPr>
          <w:rFonts w:ascii="Times New Roman" w:eastAsiaTheme="minorEastAsia" w:hAnsi="Times New Roman" w:cs="Times New Roman"/>
          <w:bCs/>
          <w:sz w:val="28"/>
          <w:szCs w:val="28"/>
          <w:lang w:eastAsia="ru-RU"/>
        </w:rPr>
        <w:t xml:space="preserve">                                    </w:t>
      </w:r>
      <w:r w:rsidR="009F7FBF">
        <w:rPr>
          <w:rFonts w:ascii="Times New Roman" w:eastAsiaTheme="minorEastAsia" w:hAnsi="Times New Roman" w:cs="Times New Roman"/>
          <w:bCs/>
          <w:sz w:val="28"/>
          <w:szCs w:val="28"/>
          <w:lang w:eastAsia="ru-RU"/>
        </w:rPr>
        <w:t xml:space="preserve">      </w:t>
      </w:r>
      <w:r w:rsidRPr="00CE1BA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CE1BA8"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E1BA8">
        <w:rPr>
          <w:rFonts w:ascii="Times New Roman" w:eastAsia="Times New Roman" w:hAnsi="Times New Roman" w:cs="Times New Roman"/>
          <w:sz w:val="28"/>
          <w:szCs w:val="28"/>
          <w:lang w:eastAsia="ru-RU"/>
        </w:rPr>
        <w:t xml:space="preserve">3. </w:t>
      </w:r>
      <w:r w:rsidR="009F7FBF" w:rsidRPr="009F7FBF">
        <w:rPr>
          <w:rFonts w:ascii="Times New Roman" w:eastAsia="Times New Roman" w:hAnsi="Times New Roman" w:cs="Times New Roman"/>
          <w:sz w:val="28"/>
          <w:szCs w:val="28"/>
          <w:lang w:eastAsia="ru-RU"/>
        </w:rPr>
        <w:t>Настоящее постановление подлежит официальному опубликованию на официальном сайте сельского поселения Карламанский сельсовет  в сети Интернет https://karlamansp.ru/</w:t>
      </w:r>
      <w:r w:rsidR="009F7FBF">
        <w:rPr>
          <w:rFonts w:ascii="Times New Roman" w:eastAsia="Times New Roman" w:hAnsi="Times New Roman" w:cs="Times New Roman"/>
          <w:sz w:val="28"/>
          <w:szCs w:val="28"/>
          <w:lang w:eastAsia="ru-RU"/>
        </w:rPr>
        <w:t>.</w:t>
      </w:r>
    </w:p>
    <w:p w:rsidR="001D57D3" w:rsidRPr="001D57D3" w:rsidRDefault="000E69BC" w:rsidP="001D57D3">
      <w:pPr>
        <w:autoSpaceDE w:val="0"/>
        <w:autoSpaceDN w:val="0"/>
        <w:adjustRightInd w:val="0"/>
        <w:spacing w:after="0" w:line="240" w:lineRule="auto"/>
        <w:ind w:firstLine="709"/>
        <w:jc w:val="both"/>
        <w:rPr>
          <w:rFonts w:ascii="Times New Roman" w:hAnsi="Times New Roman" w:cs="Times New Roman"/>
          <w:sz w:val="28"/>
          <w:szCs w:val="28"/>
        </w:rPr>
      </w:pPr>
      <w:r w:rsidRPr="00CE1BA8">
        <w:rPr>
          <w:rFonts w:ascii="Times New Roman" w:hAnsi="Times New Roman" w:cs="Times New Roman"/>
          <w:sz w:val="28"/>
          <w:szCs w:val="28"/>
        </w:rPr>
        <w:t xml:space="preserve">4. </w:t>
      </w:r>
      <w:proofErr w:type="gramStart"/>
      <w:r w:rsidRPr="00CE1BA8">
        <w:rPr>
          <w:rFonts w:ascii="Times New Roman" w:hAnsi="Times New Roman" w:cs="Times New Roman"/>
          <w:sz w:val="28"/>
          <w:szCs w:val="28"/>
        </w:rPr>
        <w:t>Контроль за</w:t>
      </w:r>
      <w:proofErr w:type="gramEnd"/>
      <w:r w:rsidRPr="00CE1BA8">
        <w:rPr>
          <w:rFonts w:ascii="Times New Roman" w:hAnsi="Times New Roman" w:cs="Times New Roman"/>
          <w:sz w:val="28"/>
          <w:szCs w:val="28"/>
        </w:rPr>
        <w:t xml:space="preserve"> исполнением настоящего </w:t>
      </w:r>
      <w:r w:rsidR="001D57D3" w:rsidRPr="001D57D3">
        <w:rPr>
          <w:rFonts w:ascii="Times New Roman" w:hAnsi="Times New Roman" w:cs="Times New Roman"/>
          <w:sz w:val="28"/>
          <w:szCs w:val="28"/>
        </w:rPr>
        <w:t>постановления оставляю за собой.</w:t>
      </w:r>
    </w:p>
    <w:p w:rsidR="000E69BC" w:rsidRPr="00CE1BA8" w:rsidRDefault="000E69BC" w:rsidP="000E69BC">
      <w:pPr>
        <w:autoSpaceDE w:val="0"/>
        <w:autoSpaceDN w:val="0"/>
        <w:adjustRightInd w:val="0"/>
        <w:spacing w:after="0" w:line="240" w:lineRule="auto"/>
        <w:ind w:firstLine="709"/>
        <w:jc w:val="both"/>
        <w:rPr>
          <w:rFonts w:ascii="Times New Roman" w:hAnsi="Times New Roman" w:cs="Times New Roman"/>
          <w:sz w:val="28"/>
          <w:szCs w:val="28"/>
        </w:rPr>
      </w:pPr>
    </w:p>
    <w:p w:rsidR="000E69BC" w:rsidRPr="00CE1BA8" w:rsidRDefault="000E69BC" w:rsidP="001D57D3">
      <w:pPr>
        <w:tabs>
          <w:tab w:val="left" w:pos="6705"/>
        </w:tabs>
        <w:spacing w:after="0" w:line="240" w:lineRule="auto"/>
        <w:rPr>
          <w:rFonts w:ascii="Times New Roman" w:hAnsi="Times New Roman" w:cs="Times New Roman"/>
          <w:sz w:val="28"/>
          <w:szCs w:val="28"/>
        </w:rPr>
      </w:pPr>
      <w:r w:rsidRPr="00CE1BA8">
        <w:rPr>
          <w:rFonts w:ascii="Times New Roman" w:hAnsi="Times New Roman" w:cs="Times New Roman"/>
          <w:sz w:val="28"/>
          <w:szCs w:val="28"/>
        </w:rPr>
        <w:t xml:space="preserve">Глава </w:t>
      </w:r>
      <w:r w:rsidR="001D57D3">
        <w:rPr>
          <w:rFonts w:ascii="Times New Roman" w:hAnsi="Times New Roman" w:cs="Times New Roman"/>
          <w:sz w:val="28"/>
          <w:szCs w:val="28"/>
        </w:rPr>
        <w:t xml:space="preserve">сельского поселения                                                        </w:t>
      </w:r>
      <w:proofErr w:type="spellStart"/>
      <w:r w:rsidR="001D57D3">
        <w:rPr>
          <w:rFonts w:ascii="Times New Roman" w:hAnsi="Times New Roman" w:cs="Times New Roman"/>
          <w:sz w:val="28"/>
          <w:szCs w:val="28"/>
        </w:rPr>
        <w:t>А.М.Ахметьянов</w:t>
      </w:r>
      <w:proofErr w:type="spellEnd"/>
      <w:r w:rsidR="001D57D3">
        <w:rPr>
          <w:rFonts w:ascii="Times New Roman" w:hAnsi="Times New Roman" w:cs="Times New Roman"/>
          <w:sz w:val="28"/>
          <w:szCs w:val="28"/>
        </w:rPr>
        <w:t xml:space="preserve"> </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lastRenderedPageBreak/>
        <w:t>Утвержден</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постановлением Администрации</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 xml:space="preserve">сельского поселения </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Карламанский сельсовет</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 xml:space="preserve">муниципального района </w:t>
      </w:r>
    </w:p>
    <w:p w:rsidR="001D57D3" w:rsidRP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 xml:space="preserve">Кармаскалинский район </w:t>
      </w:r>
    </w:p>
    <w:p w:rsidR="001D57D3" w:rsidRDefault="001D57D3"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1D57D3">
        <w:rPr>
          <w:rFonts w:ascii="Times New Roman" w:hAnsi="Times New Roman" w:cs="Times New Roman"/>
          <w:b/>
          <w:sz w:val="28"/>
          <w:szCs w:val="28"/>
        </w:rPr>
        <w:t>Республики Башкортостан</w:t>
      </w:r>
      <w:r w:rsidRPr="001D57D3">
        <w:rPr>
          <w:rFonts w:ascii="Times New Roman" w:hAnsi="Times New Roman" w:cs="Times New Roman"/>
          <w:b/>
          <w:sz w:val="28"/>
          <w:szCs w:val="28"/>
        </w:rPr>
        <w:t xml:space="preserve"> </w:t>
      </w:r>
    </w:p>
    <w:p w:rsidR="000E69BC" w:rsidRPr="00CE1BA8" w:rsidRDefault="000E69BC" w:rsidP="001D57D3">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1D57D3" w:rsidRPr="001D57D3" w:rsidRDefault="000E69BC" w:rsidP="001D57D3">
      <w:pPr>
        <w:spacing w:after="0"/>
        <w:jc w:val="both"/>
        <w:rPr>
          <w:rFonts w:ascii="Times New Roman" w:hAnsi="Times New Roman" w:cs="Times New Roman"/>
          <w:b/>
          <w:bCs/>
          <w:sz w:val="28"/>
          <w:szCs w:val="28"/>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1D57D3">
        <w:rPr>
          <w:rFonts w:ascii="Times New Roman" w:hAnsi="Times New Roman" w:cs="Times New Roman"/>
          <w:b/>
          <w:bCs/>
          <w:sz w:val="28"/>
          <w:szCs w:val="28"/>
        </w:rPr>
        <w:t>а</w:t>
      </w:r>
      <w:r w:rsidR="001D57D3" w:rsidRPr="001D57D3">
        <w:rPr>
          <w:rFonts w:ascii="Times New Roman" w:hAnsi="Times New Roman" w:cs="Times New Roman"/>
          <w:b/>
          <w:bCs/>
          <w:sz w:val="28"/>
          <w:szCs w:val="28"/>
        </w:rPr>
        <w:t>дминистрации</w:t>
      </w:r>
      <w:r w:rsidR="001D57D3">
        <w:rPr>
          <w:rFonts w:ascii="Times New Roman" w:hAnsi="Times New Roman" w:cs="Times New Roman"/>
          <w:b/>
          <w:bCs/>
          <w:sz w:val="28"/>
          <w:szCs w:val="28"/>
        </w:rPr>
        <w:t xml:space="preserve"> </w:t>
      </w:r>
      <w:r w:rsidR="001D57D3" w:rsidRPr="001D57D3">
        <w:rPr>
          <w:rFonts w:ascii="Times New Roman" w:hAnsi="Times New Roman" w:cs="Times New Roman"/>
          <w:b/>
          <w:bCs/>
          <w:sz w:val="28"/>
          <w:szCs w:val="28"/>
        </w:rPr>
        <w:t>сельского поселения Карламанский сельсовет</w:t>
      </w:r>
      <w:r w:rsidR="001D57D3">
        <w:rPr>
          <w:rFonts w:ascii="Times New Roman" w:hAnsi="Times New Roman" w:cs="Times New Roman"/>
          <w:b/>
          <w:bCs/>
          <w:sz w:val="28"/>
          <w:szCs w:val="28"/>
        </w:rPr>
        <w:t xml:space="preserve"> </w:t>
      </w:r>
      <w:r w:rsidR="001D57D3" w:rsidRPr="001D57D3">
        <w:rPr>
          <w:rFonts w:ascii="Times New Roman" w:hAnsi="Times New Roman" w:cs="Times New Roman"/>
          <w:b/>
          <w:bCs/>
          <w:sz w:val="28"/>
          <w:szCs w:val="28"/>
        </w:rPr>
        <w:t xml:space="preserve">муниципального района </w:t>
      </w:r>
    </w:p>
    <w:p w:rsidR="000E69BC" w:rsidRPr="00CE1BA8" w:rsidRDefault="001D57D3" w:rsidP="001D57D3">
      <w:pPr>
        <w:spacing w:after="0"/>
        <w:jc w:val="both"/>
        <w:rPr>
          <w:rFonts w:ascii="Times New Roman" w:hAnsi="Times New Roman" w:cs="Times New Roman"/>
          <w:b/>
          <w:bCs/>
          <w:sz w:val="20"/>
          <w:szCs w:val="20"/>
        </w:rPr>
      </w:pPr>
      <w:r w:rsidRPr="001D57D3">
        <w:rPr>
          <w:rFonts w:ascii="Times New Roman" w:hAnsi="Times New Roman" w:cs="Times New Roman"/>
          <w:b/>
          <w:bCs/>
          <w:sz w:val="28"/>
          <w:szCs w:val="28"/>
        </w:rPr>
        <w:t>Кармаскалинский район Республики Башкортостан</w:t>
      </w:r>
      <w:r w:rsidRPr="001D57D3">
        <w:rPr>
          <w:rFonts w:ascii="Times New Roman" w:hAnsi="Times New Roman" w:cs="Times New Roman"/>
          <w:b/>
          <w:bCs/>
          <w:sz w:val="28"/>
          <w:szCs w:val="28"/>
        </w:rPr>
        <w:t xml:space="preserve"> </w:t>
      </w:r>
    </w:p>
    <w:p w:rsidR="000E69BC" w:rsidRPr="00CE1BA8" w:rsidRDefault="000E69BC" w:rsidP="000E69BC">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0" w:name="P56"/>
      <w:bookmarkEnd w:id="0"/>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lastRenderedPageBreak/>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1D57D3" w:rsidRDefault="00572BED" w:rsidP="002F50F8">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участники СВО и члены семей погибших.</w:t>
      </w:r>
    </w:p>
    <w:p w:rsidR="00572BED" w:rsidRPr="001D57D3" w:rsidRDefault="00572BED" w:rsidP="002F50F8">
      <w:pPr>
        <w:pStyle w:val="ConsPlusNormal"/>
        <w:ind w:firstLine="540"/>
        <w:jc w:val="both"/>
        <w:rPr>
          <w:rFonts w:ascii="Times New Roman" w:hAnsi="Times New Roman" w:cs="Times New Roman"/>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66"/>
      <w:bookmarkEnd w:id="1"/>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lastRenderedPageBreak/>
        <w:t>Администрации муниципального образования</w:t>
      </w:r>
      <w:bookmarkStart w:id="2" w:name="P74"/>
      <w:bookmarkEnd w:id="2"/>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Информирование осуществляется в соответствии с графиком приема </w:t>
      </w:r>
      <w:r w:rsidRPr="00EF245B">
        <w:rPr>
          <w:rFonts w:ascii="Times New Roman" w:hAnsi="Times New Roman" w:cs="Times New Roman"/>
          <w:color w:val="000000" w:themeColor="text1"/>
          <w:sz w:val="28"/>
          <w:szCs w:val="28"/>
        </w:rPr>
        <w:lastRenderedPageBreak/>
        <w:t>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3" w:name="P93"/>
      <w:bookmarkEnd w:id="3"/>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4" w:name="P151"/>
      <w:bookmarkEnd w:id="4"/>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5" w:name="P156"/>
      <w:bookmarkEnd w:id="5"/>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1D57D3" w:rsidRDefault="00572BED" w:rsidP="002F50F8">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Министерством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xml:space="preserve">, утвержденный постановлением </w:t>
      </w:r>
      <w:r w:rsidR="008427F1">
        <w:rPr>
          <w:rFonts w:ascii="Times New Roman" w:hAnsi="Times New Roman" w:cs="Times New Roman"/>
          <w:color w:val="000000" w:themeColor="text1"/>
          <w:sz w:val="28"/>
          <w:szCs w:val="28"/>
        </w:rPr>
        <w:lastRenderedPageBreak/>
        <w:t>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lastRenderedPageBreak/>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209"/>
      <w:bookmarkEnd w:id="6"/>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lastRenderedPageBreak/>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7" w:name="P214"/>
      <w:bookmarkEnd w:id="7"/>
      <w:proofErr w:type="gramStart"/>
      <w:r w:rsidRPr="002F50F8">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8" w:name="P226"/>
      <w:bookmarkEnd w:id="8"/>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2.4) для граждан, имеющих несовершеннолетнего ребенка-инвалида                     и нуждающихся в жилых помещениях на основаниях, предусмотренных </w:t>
      </w:r>
      <w:r w:rsidRPr="00023F31">
        <w:rPr>
          <w:rFonts w:ascii="Times New Roman" w:hAnsi="Times New Roman" w:cs="Times New Roman"/>
          <w:color w:val="000000" w:themeColor="text1"/>
          <w:sz w:val="28"/>
          <w:szCs w:val="28"/>
        </w:rPr>
        <w:lastRenderedPageBreak/>
        <w:t>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7"/>
      <w:bookmarkEnd w:id="9"/>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0" w:name="P229"/>
      <w:bookmarkEnd w:id="10"/>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1D57D3" w:rsidRDefault="00F9558A" w:rsidP="00F9558A">
      <w:pPr>
        <w:spacing w:after="0"/>
        <w:ind w:firstLine="540"/>
        <w:jc w:val="both"/>
        <w:rPr>
          <w:rFonts w:ascii="Times New Roman" w:hAnsi="Times New Roman" w:cs="Times New Roman"/>
          <w:sz w:val="28"/>
          <w:szCs w:val="28"/>
        </w:rPr>
      </w:pPr>
      <w:r w:rsidRPr="001D57D3">
        <w:rPr>
          <w:rFonts w:ascii="Times New Roman" w:hAnsi="Times New Roman" w:cs="Times New Roman"/>
          <w:sz w:val="28"/>
          <w:szCs w:val="28"/>
        </w:rPr>
        <w:t>2.6)  для участников специальной военной операции:</w:t>
      </w:r>
    </w:p>
    <w:p w:rsidR="00F9558A" w:rsidRPr="001D57D3" w:rsidRDefault="0087472C" w:rsidP="00F9558A">
      <w:pPr>
        <w:spacing w:after="0"/>
        <w:ind w:firstLine="540"/>
        <w:jc w:val="both"/>
        <w:rPr>
          <w:rFonts w:ascii="Times New Roman" w:hAnsi="Times New Roman" w:cs="Times New Roman"/>
          <w:sz w:val="28"/>
          <w:szCs w:val="28"/>
        </w:rPr>
      </w:pPr>
      <w:r w:rsidRPr="001D57D3">
        <w:rPr>
          <w:rFonts w:ascii="Times New Roman" w:hAnsi="Times New Roman" w:cs="Times New Roman"/>
          <w:sz w:val="28"/>
          <w:szCs w:val="28"/>
        </w:rPr>
        <w:t>а</w:t>
      </w:r>
      <w:r w:rsidR="00F9558A" w:rsidRPr="001D57D3">
        <w:rPr>
          <w:rFonts w:ascii="Times New Roman" w:hAnsi="Times New Roman" w:cs="Times New Roman"/>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1D57D3" w:rsidRDefault="0087472C" w:rsidP="00F9558A">
      <w:pPr>
        <w:spacing w:after="0"/>
        <w:ind w:firstLine="540"/>
        <w:jc w:val="both"/>
        <w:rPr>
          <w:rFonts w:ascii="Times New Roman" w:hAnsi="Times New Roman" w:cs="Times New Roman"/>
          <w:sz w:val="28"/>
          <w:szCs w:val="28"/>
        </w:rPr>
      </w:pPr>
      <w:r w:rsidRPr="001D57D3">
        <w:rPr>
          <w:rFonts w:ascii="Times New Roman" w:hAnsi="Times New Roman" w:cs="Times New Roman"/>
          <w:sz w:val="28"/>
          <w:szCs w:val="28"/>
        </w:rPr>
        <w:t>б</w:t>
      </w:r>
      <w:r w:rsidR="00F9558A" w:rsidRPr="001D57D3">
        <w:rPr>
          <w:rFonts w:ascii="Times New Roman" w:hAnsi="Times New Roman" w:cs="Times New Roman"/>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 xml:space="preserve">РПГУ представителем к такому заявлению прилагается документ, подтверждающий его полномочия в соответствии с </w:t>
      </w:r>
      <w:r w:rsidRPr="002935CF">
        <w:rPr>
          <w:rFonts w:ascii="Times New Roman" w:hAnsi="Times New Roman" w:cs="Times New Roman"/>
          <w:sz w:val="28"/>
          <w:szCs w:val="28"/>
        </w:rPr>
        <w:lastRenderedPageBreak/>
        <w:t>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1" w:name="P250"/>
      <w:bookmarkEnd w:id="11"/>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w:t>
      </w:r>
      <w:r w:rsidRPr="00AD24AC">
        <w:rPr>
          <w:rFonts w:ascii="Times New Roman" w:hAnsi="Times New Roman" w:cs="Times New Roman"/>
          <w:color w:val="000000" w:themeColor="text1"/>
          <w:sz w:val="28"/>
          <w:szCs w:val="28"/>
        </w:rPr>
        <w:lastRenderedPageBreak/>
        <w:t>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2" w:name="P324"/>
      <w:bookmarkEnd w:id="12"/>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w:t>
      </w:r>
      <w:r w:rsidRPr="00AD24AC">
        <w:rPr>
          <w:rFonts w:ascii="Times New Roman" w:hAnsi="Times New Roman" w:cs="Times New Roman"/>
          <w:color w:val="000000" w:themeColor="text1"/>
          <w:sz w:val="28"/>
          <w:szCs w:val="28"/>
        </w:rPr>
        <w:lastRenderedPageBreak/>
        <w:t xml:space="preserve">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38"/>
      <w:bookmarkEnd w:id="13"/>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lastRenderedPageBreak/>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66"/>
      <w:bookmarkEnd w:id="14"/>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ведения о государственной регистрации смерти, содержащиеся в 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D57D3" w:rsidRDefault="00111ABF" w:rsidP="00111ABF">
      <w:pPr>
        <w:pStyle w:val="ConsPlusNormal"/>
        <w:ind w:firstLine="540"/>
        <w:jc w:val="both"/>
        <w:rPr>
          <w:rFonts w:ascii="Times New Roman" w:hAnsi="Times New Roman" w:cs="Times New Roman"/>
          <w:sz w:val="28"/>
          <w:szCs w:val="28"/>
        </w:rPr>
      </w:pPr>
      <w:bookmarkStart w:id="15" w:name="_GoBack"/>
      <w:r w:rsidRPr="001D57D3">
        <w:rPr>
          <w:rFonts w:ascii="Times New Roman" w:hAnsi="Times New Roman" w:cs="Times New Roman"/>
          <w:sz w:val="28"/>
          <w:szCs w:val="28"/>
        </w:rPr>
        <w:t>6) для участников специальной военной операции:</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а) копия документа, удостоверяющего личность заявителя;</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б) доверенность - в случае подачи заявления представителем;</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D57D3" w:rsidRDefault="00111ABF" w:rsidP="00111ABF">
      <w:pPr>
        <w:pStyle w:val="ConsPlusNormal"/>
        <w:ind w:firstLine="540"/>
        <w:jc w:val="both"/>
        <w:rPr>
          <w:rFonts w:ascii="Times New Roman" w:hAnsi="Times New Roman" w:cs="Times New Roman"/>
          <w:sz w:val="28"/>
          <w:szCs w:val="28"/>
        </w:rPr>
      </w:pPr>
      <w:r w:rsidRPr="001D57D3">
        <w:rPr>
          <w:rFonts w:ascii="Times New Roman" w:hAnsi="Times New Roman" w:cs="Times New Roman"/>
          <w:sz w:val="28"/>
          <w:szCs w:val="28"/>
        </w:rPr>
        <w:t>служебное удостоверение военнослужащего (сотрудника) войск национальной гвардии.</w:t>
      </w:r>
    </w:p>
    <w:bookmarkEnd w:id="15"/>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 xml:space="preserve">участвующих в предоставлении </w:t>
      </w:r>
      <w:r w:rsidR="003F4143" w:rsidRPr="00E10434">
        <w:rPr>
          <w:rFonts w:ascii="Times New Roman" w:hAnsi="Times New Roman" w:cs="Times New Roman"/>
          <w:color w:val="000000" w:themeColor="text1"/>
          <w:sz w:val="28"/>
          <w:szCs w:val="28"/>
        </w:rPr>
        <w:lastRenderedPageBreak/>
        <w:t>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w:t>
      </w:r>
      <w:r w:rsidR="00F53280">
        <w:rPr>
          <w:rFonts w:ascii="Times New Roman" w:hAnsi="Times New Roman"/>
          <w:sz w:val="28"/>
          <w:szCs w:val="28"/>
        </w:rPr>
        <w:lastRenderedPageBreak/>
        <w:t>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lastRenderedPageBreak/>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lastRenderedPageBreak/>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Тексты материалов, размещенных на информационном стенде, </w:t>
      </w:r>
      <w:r w:rsidRPr="002F50F8">
        <w:rPr>
          <w:rFonts w:ascii="Times New Roman" w:hAnsi="Times New Roman" w:cs="Times New Roman"/>
          <w:color w:val="000000" w:themeColor="text1"/>
          <w:sz w:val="28"/>
          <w:szCs w:val="28"/>
        </w:rPr>
        <w:lastRenderedPageBreak/>
        <w:t>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w:t>
      </w:r>
      <w:r w:rsidR="005B0CA4" w:rsidRPr="000F4051">
        <w:rPr>
          <w:rFonts w:ascii="Times New Roman" w:hAnsi="Times New Roman" w:cs="Times New Roman"/>
          <w:sz w:val="28"/>
          <w:szCs w:val="28"/>
        </w:rPr>
        <w:lastRenderedPageBreak/>
        <w:t>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Администрацию 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lastRenderedPageBreak/>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lastRenderedPageBreak/>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5C09BC" w:rsidRPr="005C09BC">
        <w:rPr>
          <w:rFonts w:ascii="Times New Roman" w:eastAsia="Calibri" w:hAnsi="Times New Roman" w:cs="Times New Roman"/>
          <w:color w:val="000000" w:themeColor="text1"/>
          <w:sz w:val="28"/>
          <w:szCs w:val="28"/>
        </w:rPr>
        <w:lastRenderedPageBreak/>
        <w:t>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9F7FBF"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Способы информирования заявителей о порядке подачи и рассмотрения жалобы, в том числе с использованием Единого портала </w:t>
      </w:r>
      <w:r w:rsidRPr="002F50F8">
        <w:rPr>
          <w:rFonts w:ascii="Times New Roman" w:eastAsia="Calibri" w:hAnsi="Times New Roman" w:cs="Times New Roman"/>
          <w:b/>
          <w:color w:val="000000" w:themeColor="text1"/>
          <w:sz w:val="28"/>
          <w:szCs w:val="28"/>
        </w:rPr>
        <w:lastRenderedPageBreak/>
        <w:t>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lastRenderedPageBreak/>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w:t>
      </w:r>
      <w:r w:rsidRPr="002F50F8">
        <w:rPr>
          <w:rFonts w:ascii="Times New Roman" w:eastAsia="Calibri" w:hAnsi="Times New Roman" w:cs="Times New Roman"/>
          <w:color w:val="000000" w:themeColor="text1"/>
          <w:sz w:val="28"/>
          <w:szCs w:val="28"/>
        </w:rPr>
        <w:lastRenderedPageBreak/>
        <w:t>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lastRenderedPageBreak/>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lastRenderedPageBreak/>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lastRenderedPageBreak/>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1"/>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97" w:rsidRDefault="006B4397">
      <w:pPr>
        <w:spacing w:after="0" w:line="240" w:lineRule="auto"/>
      </w:pPr>
      <w:r>
        <w:separator/>
      </w:r>
    </w:p>
  </w:endnote>
  <w:endnote w:type="continuationSeparator" w:id="0">
    <w:p w:rsidR="006B4397" w:rsidRDefault="006B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97" w:rsidRDefault="006B4397">
      <w:pPr>
        <w:spacing w:after="0" w:line="240" w:lineRule="auto"/>
      </w:pPr>
      <w:r>
        <w:separator/>
      </w:r>
    </w:p>
  </w:footnote>
  <w:footnote w:type="continuationSeparator" w:id="0">
    <w:p w:rsidR="006B4397" w:rsidRDefault="006B4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Content>
      <w:p w:rsidR="009F7FBF" w:rsidRDefault="009F7FBF">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1D57D3">
          <w:rPr>
            <w:rFonts w:ascii="Times New Roman" w:hAnsi="Times New Roman" w:cs="Times New Roman"/>
            <w:noProof/>
            <w:sz w:val="24"/>
            <w:szCs w:val="24"/>
          </w:rPr>
          <w:t>44</w:t>
        </w:r>
        <w:r w:rsidRPr="009A6578">
          <w:rPr>
            <w:rFonts w:ascii="Times New Roman" w:hAnsi="Times New Roman" w:cs="Times New Roman"/>
            <w:sz w:val="24"/>
            <w:szCs w:val="24"/>
          </w:rPr>
          <w:fldChar w:fldCharType="end"/>
        </w:r>
      </w:p>
    </w:sdtContent>
  </w:sdt>
  <w:p w:rsidR="009F7FBF" w:rsidRDefault="009F7F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BF" w:rsidRDefault="009F7FBF">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FBF" w:rsidRDefault="009F7F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D57D3">
                            <w:rPr>
                              <w:noProof/>
                              <w:spacing w:val="-5"/>
                              <w:sz w:val="24"/>
                            </w:rPr>
                            <w:t>54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9F7FBF" w:rsidRDefault="009F7F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D57D3">
                      <w:rPr>
                        <w:noProof/>
                        <w:spacing w:val="-5"/>
                        <w:sz w:val="24"/>
                      </w:rPr>
                      <w:t>54</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BF" w:rsidRDefault="009F7FBF">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FBF" w:rsidRDefault="009F7F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D57D3">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9F7FBF" w:rsidRDefault="009F7FB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1D57D3">
                      <w:rPr>
                        <w:noProof/>
                        <w:spacing w:val="-5"/>
                        <w:sz w:val="24"/>
                      </w:rPr>
                      <w:t>55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57D3"/>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B4397"/>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9F7FBF"/>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7CC9-22CE-4963-A3AD-58109B7C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55</Pages>
  <Words>17466</Words>
  <Characters>99559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upravdel</cp:lastModifiedBy>
  <cp:revision>8</cp:revision>
  <cp:lastPrinted>2023-05-02T12:16:00Z</cp:lastPrinted>
  <dcterms:created xsi:type="dcterms:W3CDTF">2023-05-02T12:24:00Z</dcterms:created>
  <dcterms:modified xsi:type="dcterms:W3CDTF">2024-07-11T10:25:00Z</dcterms:modified>
</cp:coreProperties>
</file>